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EE1AE9" w:rsidRPr="00EE1AE9" w14:paraId="7F338554" w14:textId="77777777" w:rsidTr="00EE1AE9">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4F2DC809" w14:textId="77777777" w:rsidR="00EE1AE9" w:rsidRPr="00EE1AE9" w:rsidRDefault="00EE1AE9" w:rsidP="00EE1AE9">
            <w:pPr>
              <w:rPr>
                <w:rFonts w:ascii="Tahoma" w:hAnsi="Tahoma" w:cs="Tahoma"/>
                <w:sz w:val="20"/>
                <w:szCs w:val="20"/>
              </w:rPr>
            </w:pPr>
            <w:r w:rsidRPr="00EE1AE9">
              <w:rPr>
                <w:rFonts w:ascii="Tahoma" w:hAnsi="Tahoma" w:cs="Tahoma"/>
                <w:sz w:val="20"/>
                <w:szCs w:val="20"/>
              </w:rPr>
              <w:t>13 Mayıs 2025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2A5FE0F4" w14:textId="77777777" w:rsidR="00EE1AE9" w:rsidRPr="00EE1AE9" w:rsidRDefault="00EE1AE9" w:rsidP="00EE1AE9">
            <w:pPr>
              <w:rPr>
                <w:rFonts w:ascii="Tahoma" w:hAnsi="Tahoma" w:cs="Tahoma"/>
                <w:sz w:val="20"/>
                <w:szCs w:val="20"/>
              </w:rPr>
            </w:pPr>
            <w:r w:rsidRPr="00EE1AE9">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3B45C8C2" w14:textId="77777777" w:rsidR="00EE1AE9" w:rsidRPr="00EE1AE9" w:rsidRDefault="00EE1AE9" w:rsidP="00EE1AE9">
            <w:pPr>
              <w:rPr>
                <w:rFonts w:ascii="Tahoma" w:hAnsi="Tahoma" w:cs="Tahoma"/>
                <w:sz w:val="20"/>
                <w:szCs w:val="20"/>
              </w:rPr>
            </w:pPr>
            <w:proofErr w:type="gramStart"/>
            <w:r w:rsidRPr="00EE1AE9">
              <w:rPr>
                <w:rFonts w:ascii="Tahoma" w:hAnsi="Tahoma" w:cs="Tahoma"/>
                <w:sz w:val="20"/>
                <w:szCs w:val="20"/>
              </w:rPr>
              <w:t>Sayı :</w:t>
            </w:r>
            <w:proofErr w:type="gramEnd"/>
            <w:r w:rsidRPr="00EE1AE9">
              <w:rPr>
                <w:rFonts w:ascii="Tahoma" w:hAnsi="Tahoma" w:cs="Tahoma"/>
                <w:sz w:val="20"/>
                <w:szCs w:val="20"/>
              </w:rPr>
              <w:t xml:space="preserve"> 32899</w:t>
            </w:r>
          </w:p>
        </w:tc>
      </w:tr>
      <w:tr w:rsidR="00EE1AE9" w:rsidRPr="00EE1AE9" w14:paraId="6040137D" w14:textId="77777777" w:rsidTr="00EE1AE9">
        <w:trPr>
          <w:trHeight w:val="480"/>
        </w:trPr>
        <w:tc>
          <w:tcPr>
            <w:tcW w:w="8789" w:type="dxa"/>
            <w:gridSpan w:val="3"/>
            <w:tcMar>
              <w:top w:w="0" w:type="dxa"/>
              <w:left w:w="108" w:type="dxa"/>
              <w:bottom w:w="0" w:type="dxa"/>
              <w:right w:w="108" w:type="dxa"/>
            </w:tcMar>
            <w:vAlign w:val="center"/>
            <w:hideMark/>
          </w:tcPr>
          <w:p w14:paraId="768ED2F6" w14:textId="77777777" w:rsidR="00EE1AE9" w:rsidRPr="00EE1AE9" w:rsidRDefault="00EE1AE9" w:rsidP="00EE1AE9">
            <w:pPr>
              <w:jc w:val="center"/>
              <w:rPr>
                <w:rFonts w:ascii="Tahoma" w:hAnsi="Tahoma" w:cs="Tahoma"/>
                <w:sz w:val="20"/>
                <w:szCs w:val="20"/>
              </w:rPr>
            </w:pPr>
            <w:r w:rsidRPr="00EE1AE9">
              <w:rPr>
                <w:rFonts w:ascii="Tahoma" w:hAnsi="Tahoma" w:cs="Tahoma"/>
                <w:b/>
                <w:bCs/>
                <w:sz w:val="20"/>
                <w:szCs w:val="20"/>
              </w:rPr>
              <w:t>YÖNETMELİK</w:t>
            </w:r>
          </w:p>
        </w:tc>
      </w:tr>
      <w:tr w:rsidR="00EE1AE9" w:rsidRPr="00EE1AE9" w14:paraId="3EF1C87A" w14:textId="77777777" w:rsidTr="00EE1AE9">
        <w:trPr>
          <w:trHeight w:val="20"/>
        </w:trPr>
        <w:tc>
          <w:tcPr>
            <w:tcW w:w="8789" w:type="dxa"/>
            <w:gridSpan w:val="3"/>
            <w:tcMar>
              <w:top w:w="0" w:type="dxa"/>
              <w:left w:w="108" w:type="dxa"/>
              <w:bottom w:w="0" w:type="dxa"/>
              <w:right w:w="108" w:type="dxa"/>
            </w:tcMar>
            <w:vAlign w:val="center"/>
            <w:hideMark/>
          </w:tcPr>
          <w:p w14:paraId="15388073" w14:textId="77777777" w:rsidR="00EE1AE9" w:rsidRPr="00EE1AE9" w:rsidRDefault="00EE1AE9" w:rsidP="00EE1AE9">
            <w:pPr>
              <w:rPr>
                <w:rFonts w:ascii="Tahoma" w:hAnsi="Tahoma" w:cs="Tahoma"/>
                <w:sz w:val="20"/>
                <w:szCs w:val="20"/>
                <w:u w:val="single"/>
              </w:rPr>
            </w:pPr>
            <w:r w:rsidRPr="00EE1AE9">
              <w:rPr>
                <w:rFonts w:ascii="Tahoma" w:hAnsi="Tahoma" w:cs="Tahoma"/>
                <w:sz w:val="20"/>
                <w:szCs w:val="20"/>
                <w:u w:val="single"/>
              </w:rPr>
              <w:t>Hazine ve Maliye Bakanlığından:</w:t>
            </w:r>
          </w:p>
          <w:p w14:paraId="33A46DAE" w14:textId="77777777" w:rsidR="00EE1AE9" w:rsidRPr="00EE1AE9" w:rsidRDefault="00EE1AE9" w:rsidP="00EE1AE9">
            <w:pPr>
              <w:jc w:val="center"/>
              <w:rPr>
                <w:rFonts w:ascii="Tahoma" w:hAnsi="Tahoma" w:cs="Tahoma"/>
                <w:b/>
                <w:bCs/>
                <w:sz w:val="20"/>
                <w:szCs w:val="20"/>
              </w:rPr>
            </w:pPr>
            <w:r w:rsidRPr="00EE1AE9">
              <w:rPr>
                <w:rFonts w:ascii="Tahoma" w:hAnsi="Tahoma" w:cs="Tahoma"/>
                <w:b/>
                <w:bCs/>
                <w:sz w:val="20"/>
                <w:szCs w:val="20"/>
              </w:rPr>
              <w:t>VERGİ İNCELEMELERİNDE UYULACAK USUL VE ESASLAR HAKKINDA</w:t>
            </w:r>
          </w:p>
          <w:p w14:paraId="46108500" w14:textId="77777777" w:rsidR="00EE1AE9" w:rsidRPr="00EE1AE9" w:rsidRDefault="00EE1AE9" w:rsidP="00EE1AE9">
            <w:pPr>
              <w:jc w:val="center"/>
              <w:rPr>
                <w:rFonts w:ascii="Tahoma" w:hAnsi="Tahoma" w:cs="Tahoma"/>
                <w:b/>
                <w:bCs/>
                <w:sz w:val="20"/>
                <w:szCs w:val="20"/>
              </w:rPr>
            </w:pPr>
            <w:r w:rsidRPr="00EE1AE9">
              <w:rPr>
                <w:rFonts w:ascii="Tahoma" w:hAnsi="Tahoma" w:cs="Tahoma"/>
                <w:b/>
                <w:bCs/>
                <w:sz w:val="20"/>
                <w:szCs w:val="20"/>
              </w:rPr>
              <w:t>YÖNETMELİKTE DEĞİŞİKLİK YAPILMASINA DAİR YÖNETMELİK</w:t>
            </w:r>
          </w:p>
          <w:p w14:paraId="489E9B9D" w14:textId="5BF32B4E" w:rsidR="00EE1AE9" w:rsidRPr="00EE1AE9" w:rsidRDefault="00EE1AE9" w:rsidP="00EE1AE9">
            <w:pPr>
              <w:jc w:val="both"/>
              <w:rPr>
                <w:rFonts w:ascii="Tahoma" w:hAnsi="Tahoma" w:cs="Tahoma"/>
                <w:sz w:val="20"/>
                <w:szCs w:val="20"/>
              </w:rPr>
            </w:pPr>
            <w:r w:rsidRPr="00EE1AE9">
              <w:rPr>
                <w:rFonts w:ascii="Tahoma" w:hAnsi="Tahoma" w:cs="Tahoma"/>
                <w:sz w:val="20"/>
                <w:szCs w:val="20"/>
              </w:rPr>
              <w:t> </w:t>
            </w:r>
            <w:r w:rsidRPr="00EE1AE9">
              <w:rPr>
                <w:rFonts w:ascii="Tahoma" w:hAnsi="Tahoma" w:cs="Tahoma"/>
                <w:b/>
                <w:bCs/>
                <w:sz w:val="20"/>
                <w:szCs w:val="20"/>
              </w:rPr>
              <w:t>MADDE 1-</w:t>
            </w:r>
            <w:r w:rsidRPr="00EE1AE9">
              <w:rPr>
                <w:rFonts w:ascii="Tahoma" w:hAnsi="Tahoma" w:cs="Tahoma"/>
                <w:sz w:val="20"/>
                <w:szCs w:val="20"/>
              </w:rPr>
              <w:t xml:space="preserve"> 31/10/2011 tarihli ve 28101 sayılı Resmî Gazete’de yayımlanan Vergi İncelemelerinde Uyulacak Usul ve Esaslar Hakkında Yönetmeliğin </w:t>
            </w:r>
            <w:proofErr w:type="gramStart"/>
            <w:r w:rsidRPr="00EE1AE9">
              <w:rPr>
                <w:rFonts w:ascii="Tahoma" w:hAnsi="Tahoma" w:cs="Tahoma"/>
                <w:sz w:val="20"/>
                <w:szCs w:val="20"/>
              </w:rPr>
              <w:t>3 üncü</w:t>
            </w:r>
            <w:proofErr w:type="gramEnd"/>
            <w:r w:rsidRPr="00EE1AE9">
              <w:rPr>
                <w:rFonts w:ascii="Tahoma" w:hAnsi="Tahoma" w:cs="Tahoma"/>
                <w:sz w:val="20"/>
                <w:szCs w:val="20"/>
              </w:rPr>
              <w:t xml:space="preserve"> maddesinin birinci fıkrasına aşağıdaki bentler eklenmiştir.</w:t>
            </w:r>
          </w:p>
          <w:p w14:paraId="07C49F05" w14:textId="77777777" w:rsidR="00EE1AE9" w:rsidRPr="00EE1AE9" w:rsidRDefault="00EE1AE9" w:rsidP="00EE1AE9">
            <w:pPr>
              <w:jc w:val="both"/>
              <w:rPr>
                <w:rFonts w:ascii="Tahoma" w:hAnsi="Tahoma" w:cs="Tahoma"/>
                <w:sz w:val="20"/>
                <w:szCs w:val="20"/>
              </w:rPr>
            </w:pPr>
            <w:r w:rsidRPr="00EE1AE9">
              <w:rPr>
                <w:rFonts w:ascii="Tahoma" w:hAnsi="Tahoma" w:cs="Tahoma"/>
                <w:sz w:val="20"/>
                <w:szCs w:val="20"/>
              </w:rPr>
              <w:t>“</w:t>
            </w:r>
            <w:proofErr w:type="gramStart"/>
            <w:r w:rsidRPr="00EE1AE9">
              <w:rPr>
                <w:rFonts w:ascii="Tahoma" w:hAnsi="Tahoma" w:cs="Tahoma"/>
                <w:sz w:val="20"/>
                <w:szCs w:val="20"/>
              </w:rPr>
              <w:t>i</w:t>
            </w:r>
            <w:proofErr w:type="gramEnd"/>
            <w:r w:rsidRPr="00EE1AE9">
              <w:rPr>
                <w:rFonts w:ascii="Tahoma" w:hAnsi="Tahoma" w:cs="Tahoma"/>
                <w:sz w:val="20"/>
                <w:szCs w:val="20"/>
              </w:rPr>
              <w:t>) Elektronik sistem araçları: Defter ve belgelerin ibraz edilmesi, tutanakların düzenlenmesi, görüntülü ve sesli görüşme sağlanması gibi vergi incelemelerine ilişkin işlemlerin elektronik ortamda yürütülmesini sağlamak üzere Bakanlık tarafından oluşturulan her türlü elektronik sistemi,</w:t>
            </w:r>
          </w:p>
          <w:p w14:paraId="1D154A27" w14:textId="77777777" w:rsidR="00EE1AE9" w:rsidRPr="00EE1AE9" w:rsidRDefault="00EE1AE9" w:rsidP="00EE1AE9">
            <w:pPr>
              <w:jc w:val="both"/>
              <w:rPr>
                <w:rFonts w:ascii="Tahoma" w:hAnsi="Tahoma" w:cs="Tahoma"/>
                <w:sz w:val="20"/>
                <w:szCs w:val="20"/>
              </w:rPr>
            </w:pPr>
            <w:r w:rsidRPr="00EE1AE9">
              <w:rPr>
                <w:rFonts w:ascii="Tahoma" w:hAnsi="Tahoma" w:cs="Tahoma"/>
                <w:sz w:val="20"/>
                <w:szCs w:val="20"/>
              </w:rPr>
              <w:t xml:space="preserve">j) Güvenli elektronik imza: 15/1/2004 tarihli ve 5070 sayılı </w:t>
            </w:r>
            <w:proofErr w:type="gramStart"/>
            <w:r w:rsidRPr="00EE1AE9">
              <w:rPr>
                <w:rFonts w:ascii="Tahoma" w:hAnsi="Tahoma" w:cs="Tahoma"/>
                <w:sz w:val="20"/>
                <w:szCs w:val="20"/>
              </w:rPr>
              <w:t>Elektronik İmza Kanununun</w:t>
            </w:r>
            <w:proofErr w:type="gramEnd"/>
            <w:r w:rsidRPr="00EE1AE9">
              <w:rPr>
                <w:rFonts w:ascii="Tahoma" w:hAnsi="Tahoma" w:cs="Tahoma"/>
                <w:sz w:val="20"/>
                <w:szCs w:val="20"/>
              </w:rPr>
              <w:t xml:space="preserve"> </w:t>
            </w:r>
            <w:proofErr w:type="gramStart"/>
            <w:r w:rsidRPr="00EE1AE9">
              <w:rPr>
                <w:rFonts w:ascii="Tahoma" w:hAnsi="Tahoma" w:cs="Tahoma"/>
                <w:sz w:val="20"/>
                <w:szCs w:val="20"/>
              </w:rPr>
              <w:t>4 üncü</w:t>
            </w:r>
            <w:proofErr w:type="gramEnd"/>
            <w:r w:rsidRPr="00EE1AE9">
              <w:rPr>
                <w:rFonts w:ascii="Tahoma" w:hAnsi="Tahoma" w:cs="Tahoma"/>
                <w:sz w:val="20"/>
                <w:szCs w:val="20"/>
              </w:rPr>
              <w:t xml:space="preserve"> maddesinde niteliklerine yer verilen elektronik imzayı,”</w:t>
            </w:r>
          </w:p>
          <w:p w14:paraId="54CA6AA5" w14:textId="77777777" w:rsidR="00EE1AE9" w:rsidRPr="00EE1AE9" w:rsidRDefault="00EE1AE9" w:rsidP="00EE1AE9">
            <w:pPr>
              <w:jc w:val="both"/>
              <w:rPr>
                <w:rFonts w:ascii="Tahoma" w:hAnsi="Tahoma" w:cs="Tahoma"/>
                <w:sz w:val="20"/>
                <w:szCs w:val="20"/>
              </w:rPr>
            </w:pPr>
            <w:r w:rsidRPr="00EE1AE9">
              <w:rPr>
                <w:rFonts w:ascii="Tahoma" w:hAnsi="Tahoma" w:cs="Tahoma"/>
                <w:b/>
                <w:bCs/>
                <w:sz w:val="20"/>
                <w:szCs w:val="20"/>
              </w:rPr>
              <w:t>MADDE 2-</w:t>
            </w:r>
            <w:r w:rsidRPr="00EE1AE9">
              <w:rPr>
                <w:rFonts w:ascii="Tahoma" w:hAnsi="Tahoma" w:cs="Tahoma"/>
                <w:sz w:val="20"/>
                <w:szCs w:val="20"/>
              </w:rPr>
              <w:t xml:space="preserve"> Aynı Yönetmeliğin </w:t>
            </w:r>
            <w:proofErr w:type="gramStart"/>
            <w:r w:rsidRPr="00EE1AE9">
              <w:rPr>
                <w:rFonts w:ascii="Tahoma" w:hAnsi="Tahoma" w:cs="Tahoma"/>
                <w:sz w:val="20"/>
                <w:szCs w:val="20"/>
              </w:rPr>
              <w:t>4 üncü</w:t>
            </w:r>
            <w:proofErr w:type="gramEnd"/>
            <w:r w:rsidRPr="00EE1AE9">
              <w:rPr>
                <w:rFonts w:ascii="Tahoma" w:hAnsi="Tahoma" w:cs="Tahoma"/>
                <w:sz w:val="20"/>
                <w:szCs w:val="20"/>
              </w:rPr>
              <w:t xml:space="preserve"> maddesine aşağıdaki fıkra eklenmiştir.</w:t>
            </w:r>
          </w:p>
          <w:p w14:paraId="746A29C9" w14:textId="77777777" w:rsidR="00EE1AE9" w:rsidRPr="00EE1AE9" w:rsidRDefault="00EE1AE9" w:rsidP="00EE1AE9">
            <w:pPr>
              <w:jc w:val="both"/>
              <w:rPr>
                <w:rFonts w:ascii="Tahoma" w:hAnsi="Tahoma" w:cs="Tahoma"/>
                <w:sz w:val="20"/>
                <w:szCs w:val="20"/>
              </w:rPr>
            </w:pPr>
            <w:r w:rsidRPr="00EE1AE9">
              <w:rPr>
                <w:rFonts w:ascii="Tahoma" w:hAnsi="Tahoma" w:cs="Tahoma"/>
                <w:sz w:val="20"/>
                <w:szCs w:val="20"/>
              </w:rPr>
              <w:t>“(3) Vergi inceleme sürecinde, Bakanlık tarafından oluşturulan elektronik sistem araçları kullanılabilir.”</w:t>
            </w:r>
          </w:p>
          <w:p w14:paraId="27D1E8CD" w14:textId="77777777" w:rsidR="00EE1AE9" w:rsidRPr="00EE1AE9" w:rsidRDefault="00EE1AE9" w:rsidP="00EE1AE9">
            <w:pPr>
              <w:jc w:val="both"/>
              <w:rPr>
                <w:rFonts w:ascii="Tahoma" w:hAnsi="Tahoma" w:cs="Tahoma"/>
                <w:sz w:val="20"/>
                <w:szCs w:val="20"/>
              </w:rPr>
            </w:pPr>
            <w:r w:rsidRPr="00EE1AE9">
              <w:rPr>
                <w:rFonts w:ascii="Tahoma" w:hAnsi="Tahoma" w:cs="Tahoma"/>
                <w:b/>
                <w:bCs/>
                <w:sz w:val="20"/>
                <w:szCs w:val="20"/>
              </w:rPr>
              <w:t>MADDE 3-</w:t>
            </w:r>
            <w:r w:rsidRPr="00EE1AE9">
              <w:rPr>
                <w:rFonts w:ascii="Tahoma" w:hAnsi="Tahoma" w:cs="Tahoma"/>
                <w:sz w:val="20"/>
                <w:szCs w:val="20"/>
              </w:rPr>
              <w:t xml:space="preserve"> Aynı Yönetmeliğin </w:t>
            </w:r>
            <w:proofErr w:type="gramStart"/>
            <w:r w:rsidRPr="00EE1AE9">
              <w:rPr>
                <w:rFonts w:ascii="Tahoma" w:hAnsi="Tahoma" w:cs="Tahoma"/>
                <w:sz w:val="20"/>
                <w:szCs w:val="20"/>
              </w:rPr>
              <w:t>12 nci</w:t>
            </w:r>
            <w:proofErr w:type="gramEnd"/>
            <w:r w:rsidRPr="00EE1AE9">
              <w:rPr>
                <w:rFonts w:ascii="Tahoma" w:hAnsi="Tahoma" w:cs="Tahoma"/>
                <w:sz w:val="20"/>
                <w:szCs w:val="20"/>
              </w:rPr>
              <w:t> maddesinin dördüncü fıkrasına aşağıdaki cümle eklenmiştir.</w:t>
            </w:r>
          </w:p>
          <w:p w14:paraId="3ADCBFCA" w14:textId="77777777" w:rsidR="00EE1AE9" w:rsidRPr="00EE1AE9" w:rsidRDefault="00EE1AE9" w:rsidP="00EE1AE9">
            <w:pPr>
              <w:jc w:val="both"/>
              <w:rPr>
                <w:rFonts w:ascii="Tahoma" w:hAnsi="Tahoma" w:cs="Tahoma"/>
                <w:sz w:val="20"/>
                <w:szCs w:val="20"/>
              </w:rPr>
            </w:pPr>
            <w:r w:rsidRPr="00EE1AE9">
              <w:rPr>
                <w:rFonts w:ascii="Tahoma" w:hAnsi="Tahoma" w:cs="Tahoma"/>
                <w:sz w:val="20"/>
                <w:szCs w:val="20"/>
              </w:rPr>
              <w:t>“Defter ve belgelerin elektronik ortamda ibrazı üzerine sistem tarafından ibraz durumunu gösteren bir belge üretilir ve söz konusu belgeyi mükellef veya mükellef tarafından defter ve belgelerin ibrazı için vekâlet verilenler güvenli elektronik imza ile imzalar.”</w:t>
            </w:r>
          </w:p>
          <w:p w14:paraId="41B66E84" w14:textId="77777777" w:rsidR="00EE1AE9" w:rsidRPr="00EE1AE9" w:rsidRDefault="00EE1AE9" w:rsidP="00EE1AE9">
            <w:pPr>
              <w:jc w:val="both"/>
              <w:rPr>
                <w:rFonts w:ascii="Tahoma" w:hAnsi="Tahoma" w:cs="Tahoma"/>
                <w:sz w:val="20"/>
                <w:szCs w:val="20"/>
              </w:rPr>
            </w:pPr>
            <w:r w:rsidRPr="00EE1AE9">
              <w:rPr>
                <w:rFonts w:ascii="Tahoma" w:hAnsi="Tahoma" w:cs="Tahoma"/>
                <w:b/>
                <w:bCs/>
                <w:sz w:val="20"/>
                <w:szCs w:val="20"/>
              </w:rPr>
              <w:t>MADDE 4-</w:t>
            </w:r>
            <w:r w:rsidRPr="00EE1AE9">
              <w:rPr>
                <w:rFonts w:ascii="Tahoma" w:hAnsi="Tahoma" w:cs="Tahoma"/>
                <w:sz w:val="20"/>
                <w:szCs w:val="20"/>
              </w:rPr>
              <w:t xml:space="preserve"> Aynı Yönetmeliğin </w:t>
            </w:r>
            <w:proofErr w:type="gramStart"/>
            <w:r w:rsidRPr="00EE1AE9">
              <w:rPr>
                <w:rFonts w:ascii="Tahoma" w:hAnsi="Tahoma" w:cs="Tahoma"/>
                <w:sz w:val="20"/>
                <w:szCs w:val="20"/>
              </w:rPr>
              <w:t>16 </w:t>
            </w:r>
            <w:proofErr w:type="spellStart"/>
            <w:r w:rsidRPr="00EE1AE9">
              <w:rPr>
                <w:rFonts w:ascii="Tahoma" w:hAnsi="Tahoma" w:cs="Tahoma"/>
                <w:sz w:val="20"/>
                <w:szCs w:val="20"/>
              </w:rPr>
              <w:t>ncı</w:t>
            </w:r>
            <w:proofErr w:type="spellEnd"/>
            <w:proofErr w:type="gramEnd"/>
            <w:r w:rsidRPr="00EE1AE9">
              <w:rPr>
                <w:rFonts w:ascii="Tahoma" w:hAnsi="Tahoma" w:cs="Tahoma"/>
                <w:sz w:val="20"/>
                <w:szCs w:val="20"/>
              </w:rPr>
              <w:t> maddesine ikinci fıkrasından sonra gelmek üzere aşağıdaki fıkra eklenmiş ve diğer fıkralar buna göre teselsül ettirilmiş, mevcut üçüncü fıkrasına aşağıdaki cümle eklenmiştir.</w:t>
            </w:r>
          </w:p>
          <w:p w14:paraId="0EBA9865" w14:textId="77777777" w:rsidR="00EE1AE9" w:rsidRPr="00EE1AE9" w:rsidRDefault="00EE1AE9" w:rsidP="00EE1AE9">
            <w:pPr>
              <w:jc w:val="both"/>
              <w:rPr>
                <w:rFonts w:ascii="Tahoma" w:hAnsi="Tahoma" w:cs="Tahoma"/>
                <w:sz w:val="20"/>
                <w:szCs w:val="20"/>
              </w:rPr>
            </w:pPr>
            <w:r w:rsidRPr="00EE1AE9">
              <w:rPr>
                <w:rFonts w:ascii="Tahoma" w:hAnsi="Tahoma" w:cs="Tahoma"/>
                <w:sz w:val="20"/>
                <w:szCs w:val="20"/>
              </w:rPr>
              <w:t>“(3) İnceleme tutanakları, Bakanlık tarafından oluşturulan sistem aracılığıyla elektronik ortamda düzenlenebilir. İnceleme tutanaklarının Bakanlık tarafından oluşturulan sistem aracılığıyla elektronik ortamda düzenlendiği durumlarda, mükellef veya mükellef tarafından inceleme tutanaklarını imzalamak üzere vekâlet verilenler, söz konusu tutanakları güvenli elektronik imza ile imzalar.”</w:t>
            </w:r>
          </w:p>
          <w:p w14:paraId="27751763" w14:textId="77777777" w:rsidR="00EE1AE9" w:rsidRPr="00EE1AE9" w:rsidRDefault="00EE1AE9" w:rsidP="00EE1AE9">
            <w:pPr>
              <w:jc w:val="both"/>
              <w:rPr>
                <w:rFonts w:ascii="Tahoma" w:hAnsi="Tahoma" w:cs="Tahoma"/>
                <w:sz w:val="20"/>
                <w:szCs w:val="20"/>
              </w:rPr>
            </w:pPr>
            <w:r w:rsidRPr="00EE1AE9">
              <w:rPr>
                <w:rFonts w:ascii="Tahoma" w:hAnsi="Tahoma" w:cs="Tahoma"/>
                <w:sz w:val="20"/>
                <w:szCs w:val="20"/>
              </w:rPr>
              <w:t>“Bu fıkranın uygulanmasında üçüncü fıkra hükmü saklıdır.”</w:t>
            </w:r>
          </w:p>
          <w:p w14:paraId="520EE963" w14:textId="77777777" w:rsidR="00EE1AE9" w:rsidRPr="00EE1AE9" w:rsidRDefault="00EE1AE9" w:rsidP="00EE1AE9">
            <w:pPr>
              <w:jc w:val="both"/>
              <w:rPr>
                <w:rFonts w:ascii="Tahoma" w:hAnsi="Tahoma" w:cs="Tahoma"/>
                <w:sz w:val="20"/>
                <w:szCs w:val="20"/>
              </w:rPr>
            </w:pPr>
            <w:r w:rsidRPr="00EE1AE9">
              <w:rPr>
                <w:rFonts w:ascii="Tahoma" w:hAnsi="Tahoma" w:cs="Tahoma"/>
                <w:b/>
                <w:bCs/>
                <w:sz w:val="20"/>
                <w:szCs w:val="20"/>
              </w:rPr>
              <w:t>MADDE 5-</w:t>
            </w:r>
            <w:r w:rsidRPr="00EE1AE9">
              <w:rPr>
                <w:rFonts w:ascii="Tahoma" w:hAnsi="Tahoma" w:cs="Tahoma"/>
                <w:sz w:val="20"/>
                <w:szCs w:val="20"/>
              </w:rPr>
              <w:t xml:space="preserve"> Aynı Yönetmeliğin </w:t>
            </w:r>
            <w:proofErr w:type="gramStart"/>
            <w:r w:rsidRPr="00EE1AE9">
              <w:rPr>
                <w:rFonts w:ascii="Tahoma" w:hAnsi="Tahoma" w:cs="Tahoma"/>
                <w:sz w:val="20"/>
                <w:szCs w:val="20"/>
              </w:rPr>
              <w:t>17 nci</w:t>
            </w:r>
            <w:proofErr w:type="gramEnd"/>
            <w:r w:rsidRPr="00EE1AE9">
              <w:rPr>
                <w:rFonts w:ascii="Tahoma" w:hAnsi="Tahoma" w:cs="Tahoma"/>
                <w:sz w:val="20"/>
                <w:szCs w:val="20"/>
              </w:rPr>
              <w:t> maddesinin birinci fıkrasının (a) bendi aşağıdaki şekilde değiştirilmiştir.</w:t>
            </w:r>
          </w:p>
          <w:p w14:paraId="211C4C30" w14:textId="77777777" w:rsidR="00EE1AE9" w:rsidRPr="00EE1AE9" w:rsidRDefault="00EE1AE9" w:rsidP="00EE1AE9">
            <w:pPr>
              <w:jc w:val="both"/>
              <w:rPr>
                <w:rFonts w:ascii="Tahoma" w:hAnsi="Tahoma" w:cs="Tahoma"/>
                <w:sz w:val="20"/>
                <w:szCs w:val="20"/>
              </w:rPr>
            </w:pPr>
            <w:r w:rsidRPr="00EE1AE9">
              <w:rPr>
                <w:rFonts w:ascii="Tahoma" w:hAnsi="Tahoma" w:cs="Tahoma"/>
                <w:sz w:val="20"/>
                <w:szCs w:val="20"/>
              </w:rPr>
              <w:t>“</w:t>
            </w:r>
            <w:proofErr w:type="gramStart"/>
            <w:r w:rsidRPr="00EE1AE9">
              <w:rPr>
                <w:rFonts w:ascii="Tahoma" w:hAnsi="Tahoma" w:cs="Tahoma"/>
                <w:sz w:val="20"/>
                <w:szCs w:val="20"/>
              </w:rPr>
              <w:t>a</w:t>
            </w:r>
            <w:proofErr w:type="gramEnd"/>
            <w:r w:rsidRPr="00EE1AE9">
              <w:rPr>
                <w:rFonts w:ascii="Tahoma" w:hAnsi="Tahoma" w:cs="Tahoma"/>
                <w:sz w:val="20"/>
                <w:szCs w:val="20"/>
              </w:rPr>
              <w:t>) Tutanağın düzenlenme yeri ve tarihi (Bakanlık tarafından oluşturulan sistem aracılığıyla elektronik ortamda düzenlenen tutanaklarda, tutanağın düzenlenme yeri elektronik ortam olarak kabul edilir.),”</w:t>
            </w:r>
          </w:p>
          <w:p w14:paraId="55A3A361" w14:textId="77777777" w:rsidR="00EE1AE9" w:rsidRPr="00EE1AE9" w:rsidRDefault="00EE1AE9" w:rsidP="00EE1AE9">
            <w:pPr>
              <w:jc w:val="both"/>
              <w:rPr>
                <w:rFonts w:ascii="Tahoma" w:hAnsi="Tahoma" w:cs="Tahoma"/>
                <w:sz w:val="20"/>
                <w:szCs w:val="20"/>
              </w:rPr>
            </w:pPr>
            <w:r w:rsidRPr="00EE1AE9">
              <w:rPr>
                <w:rFonts w:ascii="Tahoma" w:hAnsi="Tahoma" w:cs="Tahoma"/>
                <w:b/>
                <w:bCs/>
                <w:sz w:val="20"/>
                <w:szCs w:val="20"/>
              </w:rPr>
              <w:t>MADDE 6-</w:t>
            </w:r>
            <w:r w:rsidRPr="00EE1AE9">
              <w:rPr>
                <w:rFonts w:ascii="Tahoma" w:hAnsi="Tahoma" w:cs="Tahoma"/>
                <w:sz w:val="20"/>
                <w:szCs w:val="20"/>
              </w:rPr>
              <w:t xml:space="preserve"> Aynı Yönetmeliğin </w:t>
            </w:r>
            <w:proofErr w:type="gramStart"/>
            <w:r w:rsidRPr="00EE1AE9">
              <w:rPr>
                <w:rFonts w:ascii="Tahoma" w:hAnsi="Tahoma" w:cs="Tahoma"/>
                <w:sz w:val="20"/>
                <w:szCs w:val="20"/>
              </w:rPr>
              <w:t>22 nci</w:t>
            </w:r>
            <w:proofErr w:type="gramEnd"/>
            <w:r w:rsidRPr="00EE1AE9">
              <w:rPr>
                <w:rFonts w:ascii="Tahoma" w:hAnsi="Tahoma" w:cs="Tahoma"/>
                <w:sz w:val="20"/>
                <w:szCs w:val="20"/>
              </w:rPr>
              <w:t> maddesinin ikinci fıkrası aşağıdaki şekilde değiştirilmiştir.</w:t>
            </w:r>
          </w:p>
          <w:p w14:paraId="01BFA732" w14:textId="77777777" w:rsidR="00EE1AE9" w:rsidRPr="00EE1AE9" w:rsidRDefault="00EE1AE9" w:rsidP="00EE1AE9">
            <w:pPr>
              <w:jc w:val="both"/>
              <w:rPr>
                <w:rFonts w:ascii="Tahoma" w:hAnsi="Tahoma" w:cs="Tahoma"/>
                <w:sz w:val="20"/>
                <w:szCs w:val="20"/>
              </w:rPr>
            </w:pPr>
            <w:r w:rsidRPr="00EE1AE9">
              <w:rPr>
                <w:rFonts w:ascii="Tahoma" w:hAnsi="Tahoma" w:cs="Tahoma"/>
                <w:sz w:val="20"/>
                <w:szCs w:val="20"/>
              </w:rPr>
              <w:t xml:space="preserve">“(2) </w:t>
            </w:r>
            <w:proofErr w:type="gramStart"/>
            <w:r w:rsidRPr="00EE1AE9">
              <w:rPr>
                <w:rFonts w:ascii="Tahoma" w:hAnsi="Tahoma" w:cs="Tahoma"/>
                <w:sz w:val="20"/>
                <w:szCs w:val="20"/>
              </w:rPr>
              <w:t>16 </w:t>
            </w:r>
            <w:proofErr w:type="spellStart"/>
            <w:r w:rsidRPr="00EE1AE9">
              <w:rPr>
                <w:rFonts w:ascii="Tahoma" w:hAnsi="Tahoma" w:cs="Tahoma"/>
                <w:sz w:val="20"/>
                <w:szCs w:val="20"/>
              </w:rPr>
              <w:t>ncı</w:t>
            </w:r>
            <w:proofErr w:type="spellEnd"/>
            <w:proofErr w:type="gramEnd"/>
            <w:r w:rsidRPr="00EE1AE9">
              <w:rPr>
                <w:rFonts w:ascii="Tahoma" w:hAnsi="Tahoma" w:cs="Tahoma"/>
                <w:sz w:val="20"/>
                <w:szCs w:val="20"/>
              </w:rPr>
              <w:t> maddenin altı, yedi ve sekizinci fıkrası hükümleri saklıdır.”</w:t>
            </w:r>
          </w:p>
          <w:p w14:paraId="307DCC4F" w14:textId="77777777" w:rsidR="00EE1AE9" w:rsidRPr="00EE1AE9" w:rsidRDefault="00EE1AE9" w:rsidP="00EE1AE9">
            <w:pPr>
              <w:jc w:val="both"/>
              <w:rPr>
                <w:rFonts w:ascii="Tahoma" w:hAnsi="Tahoma" w:cs="Tahoma"/>
                <w:sz w:val="20"/>
                <w:szCs w:val="20"/>
              </w:rPr>
            </w:pPr>
            <w:r w:rsidRPr="00EE1AE9">
              <w:rPr>
                <w:rFonts w:ascii="Tahoma" w:hAnsi="Tahoma" w:cs="Tahoma"/>
                <w:b/>
                <w:bCs/>
                <w:sz w:val="20"/>
                <w:szCs w:val="20"/>
              </w:rPr>
              <w:t>MADDE 7-</w:t>
            </w:r>
            <w:r w:rsidRPr="00EE1AE9">
              <w:rPr>
                <w:rFonts w:ascii="Tahoma" w:hAnsi="Tahoma" w:cs="Tahoma"/>
                <w:sz w:val="20"/>
                <w:szCs w:val="20"/>
              </w:rPr>
              <w:t> Bu Yönetmelik yayımı tarihinde yürürlüğe girer.</w:t>
            </w:r>
          </w:p>
          <w:p w14:paraId="6513AD72" w14:textId="77777777" w:rsidR="00EE1AE9" w:rsidRPr="00EE1AE9" w:rsidRDefault="00EE1AE9" w:rsidP="00EE1AE9">
            <w:pPr>
              <w:jc w:val="both"/>
              <w:rPr>
                <w:rFonts w:ascii="Tahoma" w:hAnsi="Tahoma" w:cs="Tahoma"/>
                <w:sz w:val="20"/>
                <w:szCs w:val="20"/>
              </w:rPr>
            </w:pPr>
            <w:r w:rsidRPr="00EE1AE9">
              <w:rPr>
                <w:rFonts w:ascii="Tahoma" w:hAnsi="Tahoma" w:cs="Tahoma"/>
                <w:b/>
                <w:bCs/>
                <w:sz w:val="20"/>
                <w:szCs w:val="20"/>
              </w:rPr>
              <w:lastRenderedPageBreak/>
              <w:t>MADDE 8-</w:t>
            </w:r>
            <w:r w:rsidRPr="00EE1AE9">
              <w:rPr>
                <w:rFonts w:ascii="Tahoma" w:hAnsi="Tahoma" w:cs="Tahoma"/>
                <w:sz w:val="20"/>
                <w:szCs w:val="20"/>
              </w:rPr>
              <w:t> Bu Yönetmelik hükümlerini Hazine ve Maliye Bakanı yürütür.</w:t>
            </w:r>
          </w:p>
        </w:tc>
      </w:tr>
    </w:tbl>
    <w:p w14:paraId="5F022AD0" w14:textId="77777777" w:rsidR="00F40434" w:rsidRPr="00EE1AE9" w:rsidRDefault="00F40434">
      <w:pPr>
        <w:rPr>
          <w:rFonts w:ascii="Tahoma" w:hAnsi="Tahoma" w:cs="Tahoma"/>
          <w:sz w:val="20"/>
          <w:szCs w:val="20"/>
        </w:rPr>
      </w:pPr>
    </w:p>
    <w:sectPr w:rsidR="00F40434" w:rsidRPr="00EE1AE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AE9"/>
    <w:rsid w:val="005F324D"/>
    <w:rsid w:val="0068156B"/>
    <w:rsid w:val="008E4049"/>
    <w:rsid w:val="00975351"/>
    <w:rsid w:val="00E15C72"/>
    <w:rsid w:val="00EE1AE9"/>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1109D"/>
  <w15:chartTrackingRefBased/>
  <w15:docId w15:val="{1C90C3AB-FB6B-4FB8-95A1-863622990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E1AE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E1AE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E1AE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E1AE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E1AE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E1AE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E1AE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E1AE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E1AE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1AE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E1AE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E1AE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E1AE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E1AE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E1AE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E1AE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E1AE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E1AE9"/>
    <w:rPr>
      <w:rFonts w:eastAsiaTheme="majorEastAsia" w:cstheme="majorBidi"/>
      <w:color w:val="272727" w:themeColor="text1" w:themeTint="D8"/>
    </w:rPr>
  </w:style>
  <w:style w:type="paragraph" w:styleId="KonuBal">
    <w:name w:val="Title"/>
    <w:basedOn w:val="Normal"/>
    <w:next w:val="Normal"/>
    <w:link w:val="KonuBalChar"/>
    <w:uiPriority w:val="10"/>
    <w:qFormat/>
    <w:rsid w:val="00EE1A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E1AE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E1AE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E1AE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E1AE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E1AE9"/>
    <w:rPr>
      <w:i/>
      <w:iCs/>
      <w:color w:val="404040" w:themeColor="text1" w:themeTint="BF"/>
    </w:rPr>
  </w:style>
  <w:style w:type="paragraph" w:styleId="ListeParagraf">
    <w:name w:val="List Paragraph"/>
    <w:basedOn w:val="Normal"/>
    <w:uiPriority w:val="34"/>
    <w:qFormat/>
    <w:rsid w:val="00EE1AE9"/>
    <w:pPr>
      <w:ind w:left="720"/>
      <w:contextualSpacing/>
    </w:pPr>
  </w:style>
  <w:style w:type="character" w:styleId="GlVurgulama">
    <w:name w:val="Intense Emphasis"/>
    <w:basedOn w:val="VarsaylanParagrafYazTipi"/>
    <w:uiPriority w:val="21"/>
    <w:qFormat/>
    <w:rsid w:val="00EE1AE9"/>
    <w:rPr>
      <w:i/>
      <w:iCs/>
      <w:color w:val="0F4761" w:themeColor="accent1" w:themeShade="BF"/>
    </w:rPr>
  </w:style>
  <w:style w:type="paragraph" w:styleId="GlAlnt">
    <w:name w:val="Intense Quote"/>
    <w:basedOn w:val="Normal"/>
    <w:next w:val="Normal"/>
    <w:link w:val="GlAlntChar"/>
    <w:uiPriority w:val="30"/>
    <w:qFormat/>
    <w:rsid w:val="00EE1AE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E1AE9"/>
    <w:rPr>
      <w:i/>
      <w:iCs/>
      <w:color w:val="0F4761" w:themeColor="accent1" w:themeShade="BF"/>
    </w:rPr>
  </w:style>
  <w:style w:type="character" w:styleId="GlBavuru">
    <w:name w:val="Intense Reference"/>
    <w:basedOn w:val="VarsaylanParagrafYazTipi"/>
    <w:uiPriority w:val="32"/>
    <w:qFormat/>
    <w:rsid w:val="00EE1AE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308742">
      <w:bodyDiv w:val="1"/>
      <w:marLeft w:val="0"/>
      <w:marRight w:val="0"/>
      <w:marTop w:val="0"/>
      <w:marBottom w:val="0"/>
      <w:divBdr>
        <w:top w:val="none" w:sz="0" w:space="0" w:color="auto"/>
        <w:left w:val="none" w:sz="0" w:space="0" w:color="auto"/>
        <w:bottom w:val="none" w:sz="0" w:space="0" w:color="auto"/>
        <w:right w:val="none" w:sz="0" w:space="0" w:color="auto"/>
      </w:divBdr>
    </w:div>
    <w:div w:id="1906212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2253</Characters>
  <Application>Microsoft Office Word</Application>
  <DocSecurity>4</DocSecurity>
  <Lines>18</Lines>
  <Paragraphs>5</Paragraphs>
  <ScaleCrop>false</ScaleCrop>
  <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2025-05-13T07:38:00Z</dcterms:created>
  <dcterms:modified xsi:type="dcterms:W3CDTF">2025-05-13T07:38:00Z</dcterms:modified>
</cp:coreProperties>
</file>